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463817F6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9D4FE9">
        <w:rPr>
          <w:rFonts w:ascii="Arial" w:hAnsi="Arial" w:cs="Arial"/>
          <w:b/>
          <w:sz w:val="24"/>
          <w:szCs w:val="28"/>
          <w:lang w:val="en-US"/>
        </w:rPr>
        <w:t>7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6F0764">
        <w:rPr>
          <w:rFonts w:ascii="Arial" w:hAnsi="Arial" w:cs="Arial"/>
          <w:b/>
          <w:sz w:val="24"/>
          <w:szCs w:val="28"/>
          <w:lang w:val="en-US"/>
        </w:rPr>
        <w:t>016162</w:t>
      </w:r>
      <w:bookmarkStart w:id="1" w:name="_GoBack"/>
      <w:bookmarkEnd w:id="1"/>
    </w:p>
    <w:p w14:paraId="60407F1B" w14:textId="2A8B4CED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9D4FE9">
        <w:rPr>
          <w:rFonts w:ascii="Arial" w:hAnsi="Arial" w:cs="Arial"/>
          <w:b/>
          <w:sz w:val="24"/>
          <w:szCs w:val="28"/>
          <w:lang w:val="en-US"/>
        </w:rPr>
        <w:t>November 2-13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25590F8B" w14:textId="3D326557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404758">
        <w:rPr>
          <w:rFonts w:ascii="Arial" w:hAnsi="Arial" w:cs="Arial"/>
          <w:sz w:val="22"/>
          <w:szCs w:val="22"/>
          <w:lang w:val="en-US"/>
        </w:rPr>
        <w:t>4.7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4E6E737F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840C34">
        <w:rPr>
          <w:rFonts w:ascii="Arial" w:hAnsi="Arial" w:cs="Arial"/>
          <w:sz w:val="22"/>
          <w:szCs w:val="22"/>
        </w:rPr>
        <w:t xml:space="preserve">HARQ </w:t>
      </w:r>
      <w:r w:rsidR="00C30BF4">
        <w:rPr>
          <w:rFonts w:ascii="Arial" w:hAnsi="Arial" w:cs="Arial"/>
          <w:sz w:val="22"/>
          <w:szCs w:val="22"/>
        </w:rPr>
        <w:t xml:space="preserve">delay </w:t>
      </w:r>
      <w:r w:rsidR="00542D85">
        <w:rPr>
          <w:rFonts w:ascii="Arial" w:hAnsi="Arial" w:cs="Arial"/>
          <w:sz w:val="22"/>
          <w:szCs w:val="22"/>
        </w:rPr>
        <w:t xml:space="preserve">during </w:t>
      </w:r>
      <w:r w:rsidR="000C5232" w:rsidRPr="000C5232">
        <w:rPr>
          <w:rFonts w:ascii="Arial" w:hAnsi="Arial" w:cs="Arial"/>
          <w:sz w:val="22"/>
          <w:szCs w:val="22"/>
        </w:rPr>
        <w:t>RRC based BWP</w:t>
      </w:r>
      <w:r w:rsidR="003F1460">
        <w:rPr>
          <w:rFonts w:ascii="Arial" w:hAnsi="Arial" w:cs="Arial"/>
          <w:sz w:val="22"/>
          <w:szCs w:val="22"/>
        </w:rPr>
        <w:t xml:space="preserve">, </w:t>
      </w:r>
      <w:r w:rsidR="00D45A59">
        <w:rPr>
          <w:rFonts w:ascii="Arial" w:hAnsi="Arial" w:cs="Arial"/>
          <w:sz w:val="22"/>
          <w:szCs w:val="22"/>
        </w:rPr>
        <w:t xml:space="preserve">CBW </w:t>
      </w:r>
      <w:r w:rsidR="003F1460">
        <w:rPr>
          <w:rFonts w:ascii="Arial" w:hAnsi="Arial" w:cs="Arial"/>
          <w:sz w:val="22"/>
          <w:szCs w:val="22"/>
        </w:rPr>
        <w:t xml:space="preserve">and TCI </w:t>
      </w:r>
      <w:r w:rsidR="00D45A59">
        <w:rPr>
          <w:rFonts w:ascii="Arial" w:hAnsi="Arial" w:cs="Arial"/>
          <w:sz w:val="22"/>
          <w:szCs w:val="22"/>
        </w:rPr>
        <w:t>sw</w:t>
      </w:r>
      <w:r w:rsidR="003B3048">
        <w:rPr>
          <w:rFonts w:ascii="Arial" w:hAnsi="Arial" w:cs="Arial"/>
          <w:sz w:val="22"/>
          <w:szCs w:val="22"/>
        </w:rPr>
        <w:t>itching</w:t>
      </w:r>
      <w:r w:rsidR="00542D85">
        <w:rPr>
          <w:rFonts w:ascii="Arial" w:hAnsi="Arial" w:cs="Arial"/>
          <w:sz w:val="22"/>
          <w:szCs w:val="22"/>
        </w:rPr>
        <w:t xml:space="preserve"> procedures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2" w:name="OLE_LINK13"/>
      <w:bookmarkStart w:id="3" w:name="OLE_LINK14"/>
      <w:r w:rsidRPr="001D2FBF">
        <w:rPr>
          <w:sz w:val="36"/>
          <w:szCs w:val="36"/>
        </w:rPr>
        <w:t>Introduction</w:t>
      </w:r>
    </w:p>
    <w:p w14:paraId="6FC1710D" w14:textId="6D04B659" w:rsidR="0055506E" w:rsidRPr="001D2FBF" w:rsidRDefault="003B3048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meeting </w:t>
      </w:r>
      <w:r w:rsidR="00FC7A49">
        <w:rPr>
          <w:sz w:val="22"/>
          <w:szCs w:val="22"/>
          <w:lang w:val="en-US"/>
        </w:rPr>
        <w:t xml:space="preserve">the applicability of requirements when HARQ delay exceeds the RRC processing delay in RRC based </w:t>
      </w:r>
      <w:r w:rsidR="001B4EA4" w:rsidRPr="001B4EA4">
        <w:rPr>
          <w:sz w:val="22"/>
          <w:szCs w:val="22"/>
          <w:lang w:val="en-US"/>
        </w:rPr>
        <w:t xml:space="preserve">BWP switching </w:t>
      </w:r>
      <w:r w:rsidR="003F5E14">
        <w:rPr>
          <w:sz w:val="22"/>
          <w:szCs w:val="22"/>
          <w:lang w:val="en-US"/>
        </w:rPr>
        <w:t xml:space="preserve">or UE specific </w:t>
      </w:r>
      <w:r w:rsidR="003F5E14" w:rsidRPr="003F5E14">
        <w:rPr>
          <w:sz w:val="22"/>
          <w:szCs w:val="22"/>
          <w:lang w:val="en-US"/>
        </w:rPr>
        <w:t xml:space="preserve">CBW </w:t>
      </w:r>
      <w:r w:rsidR="003F5E14">
        <w:rPr>
          <w:sz w:val="22"/>
          <w:szCs w:val="22"/>
          <w:lang w:val="en-US"/>
        </w:rPr>
        <w:t>change</w:t>
      </w:r>
      <w:r w:rsidR="003F5E14" w:rsidRPr="003F5E14">
        <w:rPr>
          <w:sz w:val="22"/>
          <w:szCs w:val="22"/>
          <w:lang w:val="en-US"/>
        </w:rPr>
        <w:t xml:space="preserve"> delay</w:t>
      </w:r>
      <w:r w:rsidR="0055149A">
        <w:rPr>
          <w:sz w:val="22"/>
          <w:szCs w:val="22"/>
          <w:lang w:val="en-US"/>
        </w:rPr>
        <w:t xml:space="preserve"> was discussed</w:t>
      </w:r>
      <w:r w:rsidR="005E2413">
        <w:rPr>
          <w:sz w:val="22"/>
          <w:szCs w:val="22"/>
          <w:lang w:val="en-US"/>
        </w:rPr>
        <w:t>.</w:t>
      </w:r>
      <w:r w:rsidR="0055149A">
        <w:rPr>
          <w:sz w:val="22"/>
          <w:szCs w:val="22"/>
          <w:lang w:val="en-US"/>
        </w:rPr>
        <w:t xml:space="preserve"> There was no consensus. We analyze this issue in this contribution. </w:t>
      </w:r>
      <w:r w:rsidR="005E2413">
        <w:rPr>
          <w:sz w:val="22"/>
          <w:szCs w:val="22"/>
          <w:lang w:val="en-US"/>
        </w:rPr>
        <w:t xml:space="preserve"> </w:t>
      </w:r>
    </w:p>
    <w:p w14:paraId="76B57B46" w14:textId="7B80C87A" w:rsidR="00CB610D" w:rsidRPr="001D2FBF" w:rsidRDefault="001B4EA4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I</w:t>
      </w:r>
      <w:r w:rsidR="004E11F3">
        <w:t xml:space="preserve">mpact of HARQ on </w:t>
      </w:r>
      <w:r w:rsidRPr="001B4EA4">
        <w:t>BWP</w:t>
      </w:r>
      <w:r w:rsidR="003F1460">
        <w:t xml:space="preserve">, </w:t>
      </w:r>
      <w:r w:rsidR="00C431CA">
        <w:t xml:space="preserve">CBW </w:t>
      </w:r>
      <w:r w:rsidR="003F1460">
        <w:t xml:space="preserve">and TCI </w:t>
      </w:r>
      <w:r w:rsidRPr="001B4EA4">
        <w:t>switching</w:t>
      </w:r>
      <w:r w:rsidR="00C431CA">
        <w:t xml:space="preserve"> delay</w:t>
      </w:r>
    </w:p>
    <w:p w14:paraId="0CBFAC24" w14:textId="77777777" w:rsidR="00BB6695" w:rsidRDefault="002C1C0D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[1], it was proposed that </w:t>
      </w:r>
      <w:r w:rsidR="00C431CA">
        <w:rPr>
          <w:sz w:val="22"/>
          <w:szCs w:val="22"/>
        </w:rPr>
        <w:t xml:space="preserve">RRC based </w:t>
      </w:r>
      <w:r w:rsidR="00C431CA" w:rsidRPr="00C431CA">
        <w:rPr>
          <w:sz w:val="22"/>
          <w:szCs w:val="22"/>
        </w:rPr>
        <w:t xml:space="preserve">BWP </w:t>
      </w:r>
      <w:r w:rsidR="00C431CA">
        <w:rPr>
          <w:sz w:val="22"/>
          <w:szCs w:val="22"/>
        </w:rPr>
        <w:t xml:space="preserve">switching delay </w:t>
      </w:r>
      <w:r w:rsidR="00C431CA" w:rsidRPr="00C431CA">
        <w:rPr>
          <w:sz w:val="22"/>
          <w:szCs w:val="22"/>
        </w:rPr>
        <w:t xml:space="preserve">and </w:t>
      </w:r>
      <w:r w:rsidR="00C431CA">
        <w:rPr>
          <w:sz w:val="22"/>
          <w:szCs w:val="22"/>
        </w:rPr>
        <w:t xml:space="preserve">UE specific </w:t>
      </w:r>
      <w:r w:rsidR="00C431CA" w:rsidRPr="00C431CA">
        <w:rPr>
          <w:sz w:val="22"/>
          <w:szCs w:val="22"/>
        </w:rPr>
        <w:t xml:space="preserve">CBW </w:t>
      </w:r>
      <w:r w:rsidR="00C431CA">
        <w:rPr>
          <w:sz w:val="22"/>
          <w:szCs w:val="22"/>
        </w:rPr>
        <w:t xml:space="preserve">change </w:t>
      </w:r>
      <w:r w:rsidR="00C431CA" w:rsidRPr="00C431CA">
        <w:rPr>
          <w:sz w:val="22"/>
          <w:szCs w:val="22"/>
        </w:rPr>
        <w:t>delay</w:t>
      </w:r>
      <w:r w:rsidR="00C431CA">
        <w:rPr>
          <w:sz w:val="22"/>
          <w:szCs w:val="22"/>
        </w:rPr>
        <w:t xml:space="preserve"> requirements are applicable only when </w:t>
      </w:r>
      <w:r w:rsidR="007933AB" w:rsidRPr="007933AB">
        <w:rPr>
          <w:rFonts w:eastAsia="MS Mincho"/>
          <w:color w:val="000000"/>
          <w:lang w:val="en-US" w:eastAsia="zh-CN"/>
        </w:rPr>
        <w:t>T</w:t>
      </w:r>
      <w:r w:rsidR="007933AB" w:rsidRPr="007933AB">
        <w:rPr>
          <w:rFonts w:eastAsia="MS Mincho"/>
          <w:color w:val="000000"/>
          <w:vertAlign w:val="subscript"/>
          <w:lang w:val="en-US" w:eastAsia="zh-CN"/>
        </w:rPr>
        <w:t>HARQ</w:t>
      </w:r>
      <w:r w:rsidR="007933AB" w:rsidRPr="007933AB">
        <w:rPr>
          <w:rFonts w:eastAsia="MS Mincho"/>
          <w:color w:val="000000"/>
          <w:lang w:val="en-US" w:eastAsia="zh-CN"/>
        </w:rPr>
        <w:t xml:space="preserve"> ≤ </w:t>
      </w:r>
      <w:proofErr w:type="spellStart"/>
      <w:r w:rsidR="007933AB" w:rsidRPr="007933AB">
        <w:rPr>
          <w:rFonts w:eastAsia="MS Mincho"/>
          <w:color w:val="000000"/>
          <w:lang w:val="en-US" w:eastAsia="zh-CN"/>
        </w:rPr>
        <w:t>T</w:t>
      </w:r>
      <w:r w:rsidR="007933AB" w:rsidRPr="007933AB">
        <w:rPr>
          <w:rFonts w:eastAsia="MS Mincho"/>
          <w:color w:val="000000"/>
          <w:vertAlign w:val="subscript"/>
          <w:lang w:val="en-US" w:eastAsia="zh-CN"/>
        </w:rPr>
        <w:t>RRCProcessingDela</w:t>
      </w:r>
      <w:r w:rsidR="007933AB" w:rsidRPr="007933AB">
        <w:rPr>
          <w:rFonts w:eastAsia="MS Mincho"/>
          <w:b/>
          <w:bCs/>
          <w:i/>
          <w:iCs/>
          <w:color w:val="000000"/>
          <w:vertAlign w:val="subscript"/>
          <w:lang w:val="en-US" w:eastAsia="zh-CN"/>
        </w:rPr>
        <w:t>y</w:t>
      </w:r>
      <w:proofErr w:type="spellEnd"/>
      <w:r w:rsidR="007933AB">
        <w:rPr>
          <w:rFonts w:eastAsia="MS Mincho"/>
          <w:color w:val="000000"/>
          <w:lang w:val="en-US" w:eastAsia="zh-CN"/>
        </w:rPr>
        <w:t xml:space="preserve">. </w:t>
      </w:r>
      <w:r w:rsidR="00182AC6">
        <w:rPr>
          <w:rFonts w:eastAsia="MS Mincho"/>
          <w:color w:val="000000"/>
          <w:lang w:val="en-US" w:eastAsia="zh-CN"/>
        </w:rPr>
        <w:t xml:space="preserve">The </w:t>
      </w:r>
      <w:r w:rsidR="00182AC6">
        <w:rPr>
          <w:sz w:val="22"/>
          <w:szCs w:val="22"/>
        </w:rPr>
        <w:t xml:space="preserve">UE specific </w:t>
      </w:r>
      <w:r w:rsidR="00182AC6" w:rsidRPr="00C431CA">
        <w:rPr>
          <w:sz w:val="22"/>
          <w:szCs w:val="22"/>
        </w:rPr>
        <w:t xml:space="preserve">CBW </w:t>
      </w:r>
      <w:r w:rsidR="00182AC6">
        <w:rPr>
          <w:sz w:val="22"/>
          <w:szCs w:val="22"/>
        </w:rPr>
        <w:t xml:space="preserve">change is only triggered by the RRC command. </w:t>
      </w:r>
    </w:p>
    <w:p w14:paraId="78969F11" w14:textId="17FD491B" w:rsidR="00BB6695" w:rsidRDefault="00BB6695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RRC command received by the UE is sent over PDSCH, which </w:t>
      </w:r>
      <w:r w:rsidR="00BE203C">
        <w:rPr>
          <w:sz w:val="22"/>
          <w:szCs w:val="22"/>
        </w:rPr>
        <w:t xml:space="preserve">triggers the UE to send ACK or NACK as part of the HARQ procedure. The </w:t>
      </w:r>
    </w:p>
    <w:p w14:paraId="63E8AAC4" w14:textId="43400D44" w:rsidR="002C1C0D" w:rsidRDefault="00182AC6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argument </w:t>
      </w:r>
      <w:r w:rsidR="0072107C">
        <w:rPr>
          <w:sz w:val="22"/>
          <w:szCs w:val="22"/>
        </w:rPr>
        <w:t xml:space="preserve">in [1] </w:t>
      </w:r>
      <w:r>
        <w:rPr>
          <w:sz w:val="22"/>
          <w:szCs w:val="22"/>
        </w:rPr>
        <w:t xml:space="preserve">is that </w:t>
      </w:r>
      <w:r w:rsidR="00F71729">
        <w:rPr>
          <w:sz w:val="22"/>
          <w:szCs w:val="22"/>
        </w:rPr>
        <w:t xml:space="preserve">if the UE sends the NACK </w:t>
      </w:r>
      <w:r w:rsidR="002A0139">
        <w:rPr>
          <w:sz w:val="22"/>
          <w:szCs w:val="22"/>
        </w:rPr>
        <w:t xml:space="preserve">or the ACK is missed </w:t>
      </w:r>
      <w:r w:rsidR="00F71729">
        <w:rPr>
          <w:sz w:val="22"/>
          <w:szCs w:val="22"/>
        </w:rPr>
        <w:t xml:space="preserve">then the network </w:t>
      </w:r>
      <w:r w:rsidR="002A0139">
        <w:rPr>
          <w:sz w:val="22"/>
          <w:szCs w:val="22"/>
        </w:rPr>
        <w:t xml:space="preserve">will not schedule </w:t>
      </w:r>
      <w:r w:rsidR="001A5616">
        <w:rPr>
          <w:sz w:val="22"/>
          <w:szCs w:val="22"/>
        </w:rPr>
        <w:t xml:space="preserve">the UE on the new active BWP after the switching delay or on the new CBW after the CBW change </w:t>
      </w:r>
      <w:r w:rsidR="001A5616" w:rsidRPr="00C75A20">
        <w:rPr>
          <w:sz w:val="22"/>
          <w:szCs w:val="22"/>
        </w:rPr>
        <w:t>delay</w:t>
      </w:r>
      <w:r w:rsidR="00C75A20" w:rsidRPr="00C75A20">
        <w:rPr>
          <w:sz w:val="22"/>
          <w:szCs w:val="22"/>
        </w:rPr>
        <w:t xml:space="preserve"> or on the new TCI after the</w:t>
      </w:r>
      <w:r w:rsidR="00C75A20">
        <w:rPr>
          <w:sz w:val="22"/>
          <w:szCs w:val="22"/>
        </w:rPr>
        <w:t xml:space="preserve"> TCI </w:t>
      </w:r>
      <w:r w:rsidR="00C75A20" w:rsidRPr="00C75A20">
        <w:rPr>
          <w:sz w:val="22"/>
          <w:szCs w:val="22"/>
        </w:rPr>
        <w:t>switching</w:t>
      </w:r>
      <w:r w:rsidR="00C75A20">
        <w:rPr>
          <w:sz w:val="22"/>
          <w:szCs w:val="22"/>
        </w:rPr>
        <w:t xml:space="preserve"> </w:t>
      </w:r>
      <w:r w:rsidR="001A5616">
        <w:rPr>
          <w:sz w:val="22"/>
          <w:szCs w:val="22"/>
        </w:rPr>
        <w:t xml:space="preserve">. </w:t>
      </w:r>
      <w:r w:rsidR="000821DC">
        <w:rPr>
          <w:sz w:val="22"/>
          <w:szCs w:val="22"/>
        </w:rPr>
        <w:t xml:space="preserve">First there can be different implementation in the network. Secondly </w:t>
      </w:r>
      <w:r w:rsidR="00C75A20">
        <w:rPr>
          <w:sz w:val="22"/>
          <w:szCs w:val="22"/>
        </w:rPr>
        <w:t>t</w:t>
      </w:r>
      <w:r w:rsidR="000821DC">
        <w:rPr>
          <w:sz w:val="22"/>
          <w:szCs w:val="22"/>
        </w:rPr>
        <w:t>hese procedures are performed in the serving cell typically at higher SNR. Therefore, the probability of receiving NACK is lo</w:t>
      </w:r>
      <w:r w:rsidR="00C3368E">
        <w:rPr>
          <w:sz w:val="22"/>
          <w:szCs w:val="22"/>
        </w:rPr>
        <w:t>w. T</w:t>
      </w:r>
      <w:r w:rsidR="000821DC">
        <w:rPr>
          <w:sz w:val="22"/>
          <w:szCs w:val="22"/>
        </w:rPr>
        <w:t xml:space="preserve">he probability of missing ACK depends on </w:t>
      </w:r>
      <w:r w:rsidR="008B6C39">
        <w:rPr>
          <w:sz w:val="22"/>
          <w:szCs w:val="22"/>
        </w:rPr>
        <w:t xml:space="preserve">several factors including </w:t>
      </w:r>
      <w:r w:rsidR="000821DC">
        <w:rPr>
          <w:sz w:val="22"/>
          <w:szCs w:val="22"/>
        </w:rPr>
        <w:t xml:space="preserve">the UL </w:t>
      </w:r>
      <w:r w:rsidR="008B6C39">
        <w:rPr>
          <w:sz w:val="22"/>
          <w:szCs w:val="22"/>
        </w:rPr>
        <w:t>receiver implementation</w:t>
      </w:r>
      <w:r w:rsidR="00C3368E">
        <w:rPr>
          <w:sz w:val="22"/>
          <w:szCs w:val="22"/>
        </w:rPr>
        <w:t xml:space="preserve"> and at high SNR is also low</w:t>
      </w:r>
      <w:r w:rsidR="008B6C39">
        <w:rPr>
          <w:sz w:val="22"/>
          <w:szCs w:val="22"/>
        </w:rPr>
        <w:t xml:space="preserve">. </w:t>
      </w:r>
    </w:p>
    <w:p w14:paraId="4DAB4868" w14:textId="5CDCF0F0" w:rsidR="002C1C0D" w:rsidRDefault="00C3368E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Similar issue was discussed for NB-IoT procedure on </w:t>
      </w:r>
      <w:r w:rsidR="00064E9E" w:rsidRPr="00064E9E">
        <w:rPr>
          <w:sz w:val="22"/>
          <w:szCs w:val="22"/>
        </w:rPr>
        <w:t>RRC Connection Redirection to Non-anchor Carrier in NB-IoT</w:t>
      </w:r>
      <w:r w:rsidR="00064E9E">
        <w:rPr>
          <w:sz w:val="22"/>
          <w:szCs w:val="22"/>
        </w:rPr>
        <w:t xml:space="preserve"> defined in clause 6.9 in TS 38.133.</w:t>
      </w:r>
      <w:r w:rsidR="00133668">
        <w:rPr>
          <w:sz w:val="22"/>
          <w:szCs w:val="22"/>
        </w:rPr>
        <w:t xml:space="preserve"> In this case the UE is configured via RRC to </w:t>
      </w:r>
      <w:r w:rsidR="005F7500">
        <w:rPr>
          <w:sz w:val="22"/>
          <w:szCs w:val="22"/>
        </w:rPr>
        <w:t xml:space="preserve">redirect the reception/transmission from the </w:t>
      </w:r>
      <w:r w:rsidR="005F7500" w:rsidRPr="005F7500">
        <w:rPr>
          <w:sz w:val="22"/>
          <w:szCs w:val="22"/>
        </w:rPr>
        <w:t xml:space="preserve">anchor </w:t>
      </w:r>
      <w:r w:rsidR="005F7500">
        <w:rPr>
          <w:sz w:val="22"/>
          <w:szCs w:val="22"/>
        </w:rPr>
        <w:t>c</w:t>
      </w:r>
      <w:r w:rsidR="005F7500" w:rsidRPr="005F7500">
        <w:rPr>
          <w:sz w:val="22"/>
          <w:szCs w:val="22"/>
        </w:rPr>
        <w:t xml:space="preserve">arrier </w:t>
      </w:r>
      <w:r w:rsidR="00A11A18">
        <w:rPr>
          <w:sz w:val="22"/>
          <w:szCs w:val="22"/>
        </w:rPr>
        <w:t>t</w:t>
      </w:r>
      <w:r w:rsidR="005F7500" w:rsidRPr="005F7500">
        <w:rPr>
          <w:sz w:val="22"/>
          <w:szCs w:val="22"/>
        </w:rPr>
        <w:t xml:space="preserve">o </w:t>
      </w:r>
      <w:r w:rsidR="005F7500">
        <w:rPr>
          <w:sz w:val="22"/>
          <w:szCs w:val="22"/>
        </w:rPr>
        <w:t>the n</w:t>
      </w:r>
      <w:r w:rsidR="005F7500" w:rsidRPr="005F7500">
        <w:rPr>
          <w:sz w:val="22"/>
          <w:szCs w:val="22"/>
        </w:rPr>
        <w:t xml:space="preserve">on-anchor </w:t>
      </w:r>
      <w:r w:rsidR="005F7500">
        <w:rPr>
          <w:sz w:val="22"/>
          <w:szCs w:val="22"/>
        </w:rPr>
        <w:t>c</w:t>
      </w:r>
      <w:r w:rsidR="005F7500" w:rsidRPr="005F7500">
        <w:rPr>
          <w:sz w:val="22"/>
          <w:szCs w:val="22"/>
        </w:rPr>
        <w:t>arrier</w:t>
      </w:r>
      <w:r w:rsidR="005F7500">
        <w:rPr>
          <w:sz w:val="22"/>
          <w:szCs w:val="22"/>
        </w:rPr>
        <w:t xml:space="preserve">. </w:t>
      </w:r>
      <w:r w:rsidR="00407C85">
        <w:rPr>
          <w:sz w:val="22"/>
          <w:szCs w:val="22"/>
        </w:rPr>
        <w:t>This is also a serving cell procedure. Therefore, w</w:t>
      </w:r>
      <w:r w:rsidR="00A11A18">
        <w:rPr>
          <w:sz w:val="22"/>
          <w:szCs w:val="22"/>
        </w:rPr>
        <w:t xml:space="preserve">hile it was </w:t>
      </w:r>
      <w:proofErr w:type="spellStart"/>
      <w:r w:rsidR="00A11A18">
        <w:rPr>
          <w:sz w:val="22"/>
          <w:szCs w:val="22"/>
        </w:rPr>
        <w:t>acknowleged</w:t>
      </w:r>
      <w:proofErr w:type="spellEnd"/>
      <w:r w:rsidR="00A11A18">
        <w:rPr>
          <w:sz w:val="22"/>
          <w:szCs w:val="22"/>
        </w:rPr>
        <w:t xml:space="preserve"> that </w:t>
      </w:r>
      <w:r w:rsidR="00407C85">
        <w:rPr>
          <w:sz w:val="22"/>
          <w:szCs w:val="22"/>
        </w:rPr>
        <w:t xml:space="preserve">in some rare scenarios the ACK reception may be longer but the </w:t>
      </w:r>
      <w:proofErr w:type="spellStart"/>
      <w:r w:rsidR="00407C85">
        <w:rPr>
          <w:sz w:val="22"/>
          <w:szCs w:val="22"/>
        </w:rPr>
        <w:t>conlusion</w:t>
      </w:r>
      <w:proofErr w:type="spellEnd"/>
      <w:r w:rsidR="00407C85">
        <w:rPr>
          <w:sz w:val="22"/>
          <w:szCs w:val="22"/>
        </w:rPr>
        <w:t xml:space="preserve"> was not to include any explicit delay in the requirement´. Instead a general statement </w:t>
      </w:r>
      <w:r w:rsidR="00284928">
        <w:rPr>
          <w:sz w:val="22"/>
          <w:szCs w:val="22"/>
        </w:rPr>
        <w:t>was added in clause 6.9.2.</w:t>
      </w:r>
      <w:r w:rsidR="00407C85">
        <w:rPr>
          <w:sz w:val="22"/>
          <w:szCs w:val="22"/>
        </w:rPr>
        <w:t xml:space="preserve"> </w:t>
      </w:r>
    </w:p>
    <w:p w14:paraId="5C5F2C3E" w14:textId="5BD5CC4F" w:rsidR="00B67E41" w:rsidRPr="00B67E41" w:rsidRDefault="00B67E41" w:rsidP="00B67E41">
      <w:pPr>
        <w:pStyle w:val="ListParagraph"/>
        <w:numPr>
          <w:ilvl w:val="0"/>
          <w:numId w:val="24"/>
        </w:numPr>
        <w:spacing w:before="240"/>
        <w:rPr>
          <w:rFonts w:ascii="Times New Roman" w:hAnsi="Times New Roman"/>
          <w:i/>
          <w:iCs/>
          <w:szCs w:val="22"/>
        </w:rPr>
      </w:pPr>
      <w:r w:rsidRPr="00B67E41">
        <w:rPr>
          <w:rFonts w:ascii="Times New Roman" w:hAnsi="Times New Roman"/>
          <w:i/>
          <w:iCs/>
          <w:szCs w:val="22"/>
        </w:rPr>
        <w:t>When the NPUSCH ACK transmission for the received RRC message takes longer than 110ms, the overall RRC connection redirection delay may be extended.</w:t>
      </w:r>
    </w:p>
    <w:p w14:paraId="710A5AEF" w14:textId="5E081154" w:rsidR="00C17C6B" w:rsidRDefault="00284928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As compromise we propose that </w:t>
      </w:r>
      <w:r w:rsidR="00BE18C9">
        <w:rPr>
          <w:sz w:val="22"/>
          <w:szCs w:val="22"/>
        </w:rPr>
        <w:t xml:space="preserve">requirements for </w:t>
      </w:r>
      <w:r w:rsidR="00BE18C9" w:rsidRPr="00BE18C9">
        <w:rPr>
          <w:sz w:val="22"/>
          <w:szCs w:val="22"/>
        </w:rPr>
        <w:t xml:space="preserve">RRC based BWP switching delay and UE specific CBW change delay are applicable </w:t>
      </w:r>
      <w:r w:rsidR="00BE18C9">
        <w:rPr>
          <w:sz w:val="22"/>
          <w:szCs w:val="22"/>
        </w:rPr>
        <w:t xml:space="preserve">regardless of the HARQ delay but </w:t>
      </w:r>
      <w:r w:rsidR="00666DBC">
        <w:rPr>
          <w:sz w:val="22"/>
          <w:szCs w:val="22"/>
        </w:rPr>
        <w:t xml:space="preserve">if the ACK is delayed then </w:t>
      </w:r>
      <w:r w:rsidR="00BE18C9">
        <w:rPr>
          <w:sz w:val="22"/>
          <w:szCs w:val="22"/>
        </w:rPr>
        <w:t>the</w:t>
      </w:r>
      <w:r w:rsidR="00666DBC">
        <w:rPr>
          <w:sz w:val="22"/>
          <w:szCs w:val="22"/>
        </w:rPr>
        <w:t xml:space="preserve"> </w:t>
      </w:r>
      <w:r w:rsidR="00402E2E">
        <w:rPr>
          <w:sz w:val="22"/>
          <w:szCs w:val="22"/>
        </w:rPr>
        <w:t xml:space="preserve">overall RRC based </w:t>
      </w:r>
      <w:r w:rsidR="00606E42" w:rsidRPr="00BE18C9">
        <w:rPr>
          <w:sz w:val="22"/>
          <w:szCs w:val="22"/>
        </w:rPr>
        <w:t>BWP switching delay</w:t>
      </w:r>
      <w:r w:rsidR="00C75A20">
        <w:rPr>
          <w:sz w:val="22"/>
          <w:szCs w:val="22"/>
        </w:rPr>
        <w:t xml:space="preserve">, </w:t>
      </w:r>
      <w:r w:rsidR="00606E42" w:rsidRPr="00BE18C9">
        <w:rPr>
          <w:sz w:val="22"/>
          <w:szCs w:val="22"/>
        </w:rPr>
        <w:t>UE specific CBW change delay</w:t>
      </w:r>
      <w:r w:rsidR="00666DBC">
        <w:rPr>
          <w:sz w:val="22"/>
          <w:szCs w:val="22"/>
        </w:rPr>
        <w:t xml:space="preserve"> </w:t>
      </w:r>
      <w:r w:rsidR="00C75A20">
        <w:rPr>
          <w:sz w:val="22"/>
          <w:szCs w:val="22"/>
        </w:rPr>
        <w:t>or TCI state switching dela</w:t>
      </w:r>
      <w:r w:rsidR="00402E2E">
        <w:rPr>
          <w:sz w:val="22"/>
          <w:szCs w:val="22"/>
        </w:rPr>
        <w:t xml:space="preserve">y </w:t>
      </w:r>
      <w:r w:rsidR="00666DBC">
        <w:rPr>
          <w:sz w:val="22"/>
          <w:szCs w:val="22"/>
        </w:rPr>
        <w:t xml:space="preserve">may be extended. </w:t>
      </w:r>
    </w:p>
    <w:p w14:paraId="13840D5B" w14:textId="2CF792A6" w:rsidR="008F791D" w:rsidRPr="00693C24" w:rsidRDefault="008F791D" w:rsidP="00FB6C8C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693C24">
        <w:rPr>
          <w:rFonts w:ascii="Times New Roman" w:hAnsi="Times New Roman"/>
          <w:b/>
          <w:bCs/>
          <w:szCs w:val="22"/>
        </w:rPr>
        <w:t>Observation 1:</w:t>
      </w:r>
      <w:r w:rsidRPr="00693C24">
        <w:rPr>
          <w:rFonts w:ascii="Times New Roman" w:hAnsi="Times New Roman"/>
          <w:szCs w:val="22"/>
        </w:rPr>
        <w:t xml:space="preserve"> </w:t>
      </w:r>
      <w:r w:rsidR="00606E42" w:rsidRPr="00DB78E2">
        <w:rPr>
          <w:rFonts w:ascii="Times New Roman" w:hAnsi="Times New Roman"/>
          <w:szCs w:val="22"/>
        </w:rPr>
        <w:t>RRC based BWP switching and UE specific CBW are serving cell procedure</w:t>
      </w:r>
      <w:r w:rsidR="00C96C32" w:rsidRPr="00DB78E2">
        <w:rPr>
          <w:rFonts w:ascii="Times New Roman" w:hAnsi="Times New Roman"/>
          <w:szCs w:val="22"/>
        </w:rPr>
        <w:t xml:space="preserve"> performed typically under higher SNR</w:t>
      </w:r>
      <w:r w:rsidR="00693C24" w:rsidRPr="00DB78E2">
        <w:rPr>
          <w:rFonts w:ascii="Times New Roman" w:hAnsi="Times New Roman"/>
          <w:szCs w:val="22"/>
          <w:lang w:eastAsia="zh-CN"/>
        </w:rPr>
        <w:t>.</w:t>
      </w:r>
      <w:r w:rsidR="00C96C32" w:rsidRPr="00DB78E2">
        <w:rPr>
          <w:rFonts w:ascii="Times New Roman" w:hAnsi="Times New Roman"/>
          <w:szCs w:val="22"/>
          <w:lang w:eastAsia="zh-CN"/>
        </w:rPr>
        <w:t xml:space="preserve"> Therefore, HARQ ACK may be delayed in rare </w:t>
      </w:r>
      <w:r w:rsidR="00DB78E2" w:rsidRPr="00DB78E2">
        <w:rPr>
          <w:rFonts w:ascii="Times New Roman" w:hAnsi="Times New Roman"/>
          <w:szCs w:val="22"/>
          <w:lang w:eastAsia="zh-CN"/>
        </w:rPr>
        <w:t>circumstances.</w:t>
      </w:r>
    </w:p>
    <w:p w14:paraId="4C0128B6" w14:textId="42BF9FAC" w:rsidR="008F791D" w:rsidRDefault="008F791D" w:rsidP="008F791D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693C24">
        <w:rPr>
          <w:rFonts w:ascii="Times New Roman" w:hAnsi="Times New Roman"/>
          <w:b/>
          <w:bCs/>
          <w:szCs w:val="22"/>
        </w:rPr>
        <w:t>Proposal 1:</w:t>
      </w:r>
      <w:r w:rsidRPr="00693C24">
        <w:rPr>
          <w:rFonts w:ascii="Times New Roman" w:hAnsi="Times New Roman"/>
          <w:szCs w:val="22"/>
        </w:rPr>
        <w:t xml:space="preserve"> </w:t>
      </w:r>
      <w:r w:rsidR="002977ED" w:rsidRPr="00693C24">
        <w:rPr>
          <w:rFonts w:ascii="Times New Roman" w:hAnsi="Times New Roman"/>
          <w:szCs w:val="22"/>
        </w:rPr>
        <w:t xml:space="preserve">Clarify that </w:t>
      </w:r>
      <w:r w:rsidR="00A32976" w:rsidRPr="00A32976">
        <w:rPr>
          <w:rFonts w:ascii="Times New Roman" w:hAnsi="Times New Roman"/>
          <w:szCs w:val="22"/>
        </w:rPr>
        <w:t xml:space="preserve">if the ACK transmission for the received RRC takes longer than the </w:t>
      </w:r>
      <w:r w:rsidR="00120BF2">
        <w:rPr>
          <w:rFonts w:ascii="Times New Roman" w:hAnsi="Times New Roman"/>
          <w:szCs w:val="22"/>
        </w:rPr>
        <w:t xml:space="preserve">RRC procedure </w:t>
      </w:r>
      <w:r w:rsidR="00A32976" w:rsidRPr="00A32976">
        <w:rPr>
          <w:rFonts w:ascii="Times New Roman" w:hAnsi="Times New Roman"/>
          <w:szCs w:val="22"/>
        </w:rPr>
        <w:t>delay</w:t>
      </w:r>
      <w:r w:rsidR="00120BF2">
        <w:rPr>
          <w:rFonts w:ascii="Times New Roman" w:hAnsi="Times New Roman"/>
          <w:szCs w:val="22"/>
        </w:rPr>
        <w:t xml:space="preserve"> </w:t>
      </w:r>
      <w:r w:rsidR="00A645E0">
        <w:rPr>
          <w:rFonts w:ascii="Times New Roman" w:hAnsi="Times New Roman"/>
          <w:szCs w:val="22"/>
        </w:rPr>
        <w:t xml:space="preserve">for a procedure </w:t>
      </w:r>
      <w:r w:rsidR="00120BF2">
        <w:rPr>
          <w:rFonts w:ascii="Times New Roman" w:hAnsi="Times New Roman"/>
          <w:szCs w:val="22"/>
        </w:rPr>
        <w:t>then t</w:t>
      </w:r>
      <w:r w:rsidR="00A32976" w:rsidRPr="00A32976">
        <w:rPr>
          <w:rFonts w:ascii="Times New Roman" w:hAnsi="Times New Roman"/>
          <w:szCs w:val="22"/>
        </w:rPr>
        <w:t xml:space="preserve">he </w:t>
      </w:r>
      <w:r w:rsidR="00BA2EEF">
        <w:rPr>
          <w:rFonts w:ascii="Times New Roman" w:hAnsi="Times New Roman"/>
          <w:szCs w:val="22"/>
        </w:rPr>
        <w:t xml:space="preserve">overall </w:t>
      </w:r>
      <w:r w:rsidR="00B35B80">
        <w:rPr>
          <w:rFonts w:ascii="Times New Roman" w:hAnsi="Times New Roman"/>
          <w:szCs w:val="22"/>
        </w:rPr>
        <w:t xml:space="preserve">switching delay for </w:t>
      </w:r>
      <w:r w:rsidR="00BA2EEF">
        <w:rPr>
          <w:rFonts w:ascii="Times New Roman" w:hAnsi="Times New Roman"/>
          <w:szCs w:val="22"/>
        </w:rPr>
        <w:t>that procedure may be extended</w:t>
      </w:r>
      <w:r w:rsidR="00A645E0">
        <w:rPr>
          <w:rFonts w:ascii="Times New Roman" w:hAnsi="Times New Roman"/>
          <w:szCs w:val="22"/>
        </w:rPr>
        <w:t>.</w:t>
      </w:r>
    </w:p>
    <w:p w14:paraId="1F1E7FA7" w14:textId="28CF9D59" w:rsidR="00BA2EEF" w:rsidRDefault="00BA2EEF" w:rsidP="00BA2EEF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693C24">
        <w:rPr>
          <w:rFonts w:ascii="Times New Roman" w:hAnsi="Times New Roman"/>
          <w:b/>
          <w:bCs/>
          <w:szCs w:val="22"/>
        </w:rPr>
        <w:t xml:space="preserve">Proposal </w:t>
      </w:r>
      <w:r>
        <w:rPr>
          <w:rFonts w:ascii="Times New Roman" w:hAnsi="Times New Roman"/>
          <w:b/>
          <w:bCs/>
          <w:szCs w:val="22"/>
        </w:rPr>
        <w:t>2</w:t>
      </w:r>
      <w:r w:rsidRPr="00693C24">
        <w:rPr>
          <w:rFonts w:ascii="Times New Roman" w:hAnsi="Times New Roman"/>
          <w:b/>
          <w:bCs/>
          <w:szCs w:val="22"/>
        </w:rPr>
        <w:t>:</w:t>
      </w:r>
      <w:r w:rsidRPr="00693C24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Proposal 1 is applicable for the following requirements</w:t>
      </w:r>
      <w:r w:rsidR="00402D68">
        <w:rPr>
          <w:rFonts w:ascii="Times New Roman" w:hAnsi="Times New Roman"/>
          <w:szCs w:val="22"/>
        </w:rPr>
        <w:t>:</w:t>
      </w:r>
    </w:p>
    <w:p w14:paraId="6DA7F35E" w14:textId="1FD705CD" w:rsidR="00BA2EEF" w:rsidRDefault="00BA2EEF" w:rsidP="00BA2EEF">
      <w:pPr>
        <w:pStyle w:val="ListParagraph"/>
        <w:numPr>
          <w:ilvl w:val="1"/>
          <w:numId w:val="23"/>
        </w:numPr>
        <w:spacing w:before="120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RRC based </w:t>
      </w:r>
      <w:r w:rsidRPr="00A32976">
        <w:rPr>
          <w:rFonts w:ascii="Times New Roman" w:hAnsi="Times New Roman"/>
          <w:szCs w:val="22"/>
        </w:rPr>
        <w:t xml:space="preserve">BWP </w:t>
      </w:r>
      <w:r>
        <w:rPr>
          <w:rFonts w:ascii="Times New Roman" w:hAnsi="Times New Roman"/>
          <w:szCs w:val="22"/>
        </w:rPr>
        <w:t>switch</w:t>
      </w:r>
      <w:r w:rsidR="00A645E0">
        <w:rPr>
          <w:rFonts w:ascii="Times New Roman" w:hAnsi="Times New Roman"/>
          <w:szCs w:val="22"/>
        </w:rPr>
        <w:t>ing</w:t>
      </w:r>
      <w:r>
        <w:rPr>
          <w:rFonts w:ascii="Times New Roman" w:hAnsi="Times New Roman"/>
          <w:szCs w:val="22"/>
        </w:rPr>
        <w:t xml:space="preserve"> delay </w:t>
      </w:r>
    </w:p>
    <w:p w14:paraId="53B92537" w14:textId="55450B6B" w:rsidR="00BA2EEF" w:rsidRDefault="00402D68" w:rsidP="00BA2EEF">
      <w:pPr>
        <w:pStyle w:val="ListParagraph"/>
        <w:numPr>
          <w:ilvl w:val="1"/>
          <w:numId w:val="23"/>
        </w:numPr>
        <w:spacing w:before="120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UE specific </w:t>
      </w:r>
      <w:r w:rsidR="00BA2EEF" w:rsidRPr="00A32976">
        <w:rPr>
          <w:rFonts w:ascii="Times New Roman" w:hAnsi="Times New Roman"/>
          <w:szCs w:val="22"/>
        </w:rPr>
        <w:t xml:space="preserve">CBW change delay </w:t>
      </w:r>
      <w:r w:rsidR="00BA2EEF">
        <w:rPr>
          <w:rFonts w:ascii="Times New Roman" w:hAnsi="Times New Roman"/>
          <w:szCs w:val="22"/>
        </w:rPr>
        <w:t>and</w:t>
      </w:r>
    </w:p>
    <w:p w14:paraId="26AC401C" w14:textId="5C8ED67F" w:rsidR="00BA2EEF" w:rsidRPr="00BA2EEF" w:rsidRDefault="00BA2EEF" w:rsidP="00BA2EEF">
      <w:pPr>
        <w:pStyle w:val="ListParagraph"/>
        <w:numPr>
          <w:ilvl w:val="1"/>
          <w:numId w:val="23"/>
        </w:numPr>
        <w:spacing w:before="120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RRC based active TCI state switchin</w:t>
      </w:r>
      <w:r w:rsidR="00A645E0">
        <w:rPr>
          <w:rFonts w:ascii="Times New Roman" w:hAnsi="Times New Roman"/>
          <w:szCs w:val="22"/>
        </w:rPr>
        <w:t>g delay.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lastRenderedPageBreak/>
        <w:t>Summary</w:t>
      </w:r>
    </w:p>
    <w:p w14:paraId="4CC455B3" w14:textId="0DF89184" w:rsidR="004E6E42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In this paper we have </w:t>
      </w:r>
      <w:r w:rsidR="00380E23">
        <w:rPr>
          <w:sz w:val="22"/>
          <w:szCs w:val="22"/>
          <w:lang w:val="en-US"/>
        </w:rPr>
        <w:t>discussed the impact of</w:t>
      </w:r>
      <w:r w:rsidR="003B306E">
        <w:rPr>
          <w:sz w:val="22"/>
          <w:szCs w:val="22"/>
          <w:lang w:val="en-US"/>
        </w:rPr>
        <w:t xml:space="preserve"> delayed ACK on requirements for RRC based </w:t>
      </w:r>
      <w:r w:rsidR="000209A1" w:rsidRPr="000209A1">
        <w:rPr>
          <w:sz w:val="22"/>
          <w:szCs w:val="22"/>
          <w:lang w:val="en-US"/>
        </w:rPr>
        <w:t>BWP switching</w:t>
      </w:r>
      <w:r w:rsidR="003B306E">
        <w:rPr>
          <w:sz w:val="22"/>
          <w:szCs w:val="22"/>
          <w:lang w:val="en-US"/>
        </w:rPr>
        <w:t>,</w:t>
      </w:r>
      <w:r w:rsidR="004F59E3">
        <w:rPr>
          <w:sz w:val="22"/>
          <w:szCs w:val="22"/>
          <w:lang w:val="en-US"/>
        </w:rPr>
        <w:t xml:space="preserve"> CBW and active TCI state switching. </w:t>
      </w:r>
      <w:r w:rsidR="00CE21F0">
        <w:rPr>
          <w:sz w:val="22"/>
          <w:szCs w:val="22"/>
          <w:lang w:val="en-US"/>
        </w:rPr>
        <w:t xml:space="preserve">Based on </w:t>
      </w:r>
      <w:r w:rsidR="000C008B" w:rsidRPr="001D2FBF">
        <w:rPr>
          <w:sz w:val="22"/>
          <w:szCs w:val="22"/>
          <w:lang w:val="en-US"/>
        </w:rPr>
        <w:t xml:space="preserve">the </w:t>
      </w:r>
      <w:r w:rsidR="004D50F4" w:rsidRPr="001D2FBF">
        <w:rPr>
          <w:sz w:val="22"/>
          <w:szCs w:val="22"/>
        </w:rPr>
        <w:t>analys</w:t>
      </w:r>
      <w:r w:rsidR="000C008B" w:rsidRPr="001D2FBF">
        <w:rPr>
          <w:sz w:val="22"/>
          <w:szCs w:val="22"/>
        </w:rPr>
        <w:t xml:space="preserve">is </w:t>
      </w:r>
      <w:bookmarkStart w:id="4" w:name="_Hlk23953093"/>
      <w:r w:rsidR="000C008B" w:rsidRPr="001D2FBF">
        <w:rPr>
          <w:sz w:val="22"/>
          <w:szCs w:val="22"/>
          <w:lang w:val="en-US"/>
        </w:rPr>
        <w:t>f</w:t>
      </w:r>
      <w:proofErr w:type="spellStart"/>
      <w:r w:rsidR="00E86FF9" w:rsidRPr="001D2FBF">
        <w:rPr>
          <w:sz w:val="22"/>
          <w:szCs w:val="22"/>
        </w:rPr>
        <w:t>ollowing</w:t>
      </w:r>
      <w:proofErr w:type="spellEnd"/>
      <w:r w:rsidR="00E86FF9" w:rsidRPr="001D2FBF">
        <w:rPr>
          <w:sz w:val="22"/>
          <w:szCs w:val="22"/>
        </w:rPr>
        <w:t xml:space="preserve"> </w:t>
      </w:r>
      <w:r w:rsidR="00830921" w:rsidRPr="001D2FBF">
        <w:rPr>
          <w:sz w:val="22"/>
          <w:szCs w:val="22"/>
        </w:rPr>
        <w:t xml:space="preserve">are the </w:t>
      </w:r>
      <w:r w:rsidR="000467E3" w:rsidRPr="001D2FBF">
        <w:rPr>
          <w:sz w:val="22"/>
          <w:szCs w:val="22"/>
        </w:rPr>
        <w:t xml:space="preserve">main </w:t>
      </w:r>
      <w:r w:rsidR="00D70237" w:rsidRPr="001D2FBF">
        <w:rPr>
          <w:sz w:val="22"/>
          <w:szCs w:val="22"/>
        </w:rPr>
        <w:t xml:space="preserve">observation and </w:t>
      </w:r>
      <w:r w:rsidR="00506C4B" w:rsidRPr="001D2FBF">
        <w:rPr>
          <w:sz w:val="22"/>
          <w:szCs w:val="22"/>
        </w:rPr>
        <w:t>proposal</w:t>
      </w:r>
      <w:r w:rsidR="00AE34EB">
        <w:rPr>
          <w:sz w:val="22"/>
          <w:szCs w:val="22"/>
        </w:rPr>
        <w:t>:</w:t>
      </w:r>
      <w:r w:rsidR="007E7B60" w:rsidRPr="001D2FBF">
        <w:rPr>
          <w:sz w:val="22"/>
          <w:szCs w:val="22"/>
        </w:rPr>
        <w:t xml:space="preserve"> </w:t>
      </w:r>
    </w:p>
    <w:p w14:paraId="747C5D72" w14:textId="77777777" w:rsidR="004F59E3" w:rsidRPr="00693C24" w:rsidRDefault="004F59E3" w:rsidP="004F59E3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693C24">
        <w:rPr>
          <w:rFonts w:ascii="Times New Roman" w:hAnsi="Times New Roman"/>
          <w:b/>
          <w:bCs/>
          <w:szCs w:val="22"/>
        </w:rPr>
        <w:t>Observation 1:</w:t>
      </w:r>
      <w:r w:rsidRPr="00693C24">
        <w:rPr>
          <w:rFonts w:ascii="Times New Roman" w:hAnsi="Times New Roman"/>
          <w:szCs w:val="22"/>
        </w:rPr>
        <w:t xml:space="preserve"> </w:t>
      </w:r>
      <w:r w:rsidRPr="00DB78E2">
        <w:rPr>
          <w:rFonts w:ascii="Times New Roman" w:hAnsi="Times New Roman"/>
          <w:szCs w:val="22"/>
        </w:rPr>
        <w:t>RRC based BWP switching and UE specific CBW are serving cell procedure performed typically under higher SNR</w:t>
      </w:r>
      <w:r w:rsidRPr="00DB78E2">
        <w:rPr>
          <w:rFonts w:ascii="Times New Roman" w:hAnsi="Times New Roman"/>
          <w:szCs w:val="22"/>
          <w:lang w:eastAsia="zh-CN"/>
        </w:rPr>
        <w:t>. Therefore, HARQ ACK may be delayed in rare circumstances.</w:t>
      </w:r>
    </w:p>
    <w:p w14:paraId="345BAC7E" w14:textId="112134D9" w:rsidR="00380E23" w:rsidRDefault="00380E23" w:rsidP="004F59E3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693C24">
        <w:rPr>
          <w:rFonts w:ascii="Times New Roman" w:hAnsi="Times New Roman"/>
          <w:b/>
          <w:bCs/>
          <w:szCs w:val="22"/>
        </w:rPr>
        <w:t>Proposal 1:</w:t>
      </w:r>
      <w:r w:rsidRPr="00693C24">
        <w:rPr>
          <w:rFonts w:ascii="Times New Roman" w:hAnsi="Times New Roman"/>
          <w:szCs w:val="22"/>
        </w:rPr>
        <w:t xml:space="preserve"> Clarify </w:t>
      </w:r>
      <w:r w:rsidR="002969E7">
        <w:rPr>
          <w:rFonts w:ascii="Times New Roman" w:hAnsi="Times New Roman"/>
          <w:szCs w:val="22"/>
        </w:rPr>
        <w:t>in the core requireme</w:t>
      </w:r>
      <w:r w:rsidR="00752C7C">
        <w:rPr>
          <w:rFonts w:ascii="Times New Roman" w:hAnsi="Times New Roman"/>
          <w:szCs w:val="22"/>
        </w:rPr>
        <w:t xml:space="preserve">nt </w:t>
      </w:r>
      <w:r w:rsidRPr="00693C24">
        <w:rPr>
          <w:rFonts w:ascii="Times New Roman" w:hAnsi="Times New Roman"/>
          <w:szCs w:val="22"/>
        </w:rPr>
        <w:t xml:space="preserve">that </w:t>
      </w:r>
      <w:r w:rsidRPr="00A32976">
        <w:rPr>
          <w:rFonts w:ascii="Times New Roman" w:hAnsi="Times New Roman"/>
          <w:szCs w:val="22"/>
        </w:rPr>
        <w:t xml:space="preserve">if the ACK transmission for the received RRC takes longer than the </w:t>
      </w:r>
      <w:r>
        <w:rPr>
          <w:rFonts w:ascii="Times New Roman" w:hAnsi="Times New Roman"/>
          <w:szCs w:val="22"/>
        </w:rPr>
        <w:t xml:space="preserve">RRC procedure </w:t>
      </w:r>
      <w:r w:rsidRPr="00A32976">
        <w:rPr>
          <w:rFonts w:ascii="Times New Roman" w:hAnsi="Times New Roman"/>
          <w:szCs w:val="22"/>
        </w:rPr>
        <w:t>delay</w:t>
      </w:r>
      <w:r>
        <w:rPr>
          <w:rFonts w:ascii="Times New Roman" w:hAnsi="Times New Roman"/>
          <w:szCs w:val="22"/>
        </w:rPr>
        <w:t xml:space="preserve"> for a procedure then t</w:t>
      </w:r>
      <w:r w:rsidRPr="00A32976">
        <w:rPr>
          <w:rFonts w:ascii="Times New Roman" w:hAnsi="Times New Roman"/>
          <w:szCs w:val="22"/>
        </w:rPr>
        <w:t xml:space="preserve">he </w:t>
      </w:r>
      <w:r>
        <w:rPr>
          <w:rFonts w:ascii="Times New Roman" w:hAnsi="Times New Roman"/>
          <w:szCs w:val="22"/>
        </w:rPr>
        <w:t xml:space="preserve">overall switching </w:t>
      </w:r>
      <w:r w:rsidR="00752C7C">
        <w:rPr>
          <w:rFonts w:ascii="Times New Roman" w:hAnsi="Times New Roman"/>
          <w:szCs w:val="22"/>
        </w:rPr>
        <w:t>delay for</w:t>
      </w:r>
      <w:r w:rsidR="00B35B80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that procedure may be extended.</w:t>
      </w:r>
    </w:p>
    <w:p w14:paraId="3BF52328" w14:textId="45C022BB" w:rsidR="00380E23" w:rsidRDefault="00380E23" w:rsidP="00380E23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693C24">
        <w:rPr>
          <w:rFonts w:ascii="Times New Roman" w:hAnsi="Times New Roman"/>
          <w:b/>
          <w:bCs/>
          <w:szCs w:val="22"/>
        </w:rPr>
        <w:t xml:space="preserve">Proposal </w:t>
      </w:r>
      <w:r>
        <w:rPr>
          <w:rFonts w:ascii="Times New Roman" w:hAnsi="Times New Roman"/>
          <w:b/>
          <w:bCs/>
          <w:szCs w:val="22"/>
        </w:rPr>
        <w:t>2</w:t>
      </w:r>
      <w:r w:rsidRPr="00693C24">
        <w:rPr>
          <w:rFonts w:ascii="Times New Roman" w:hAnsi="Times New Roman"/>
          <w:b/>
          <w:bCs/>
          <w:szCs w:val="22"/>
        </w:rPr>
        <w:t>:</w:t>
      </w:r>
      <w:r w:rsidRPr="00693C24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Proposal 1 is applicable for the following requirements</w:t>
      </w:r>
      <w:r w:rsidR="0092419C">
        <w:rPr>
          <w:rFonts w:ascii="Times New Roman" w:hAnsi="Times New Roman"/>
          <w:szCs w:val="22"/>
        </w:rPr>
        <w:t>:</w:t>
      </w:r>
    </w:p>
    <w:p w14:paraId="46529703" w14:textId="77777777" w:rsidR="00380E23" w:rsidRDefault="00380E23" w:rsidP="00380E23">
      <w:pPr>
        <w:pStyle w:val="ListParagraph"/>
        <w:numPr>
          <w:ilvl w:val="1"/>
          <w:numId w:val="23"/>
        </w:numPr>
        <w:spacing w:before="120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RRC based </w:t>
      </w:r>
      <w:r w:rsidRPr="00A32976">
        <w:rPr>
          <w:rFonts w:ascii="Times New Roman" w:hAnsi="Times New Roman"/>
          <w:szCs w:val="22"/>
        </w:rPr>
        <w:t xml:space="preserve">BWP </w:t>
      </w:r>
      <w:r>
        <w:rPr>
          <w:rFonts w:ascii="Times New Roman" w:hAnsi="Times New Roman"/>
          <w:szCs w:val="22"/>
        </w:rPr>
        <w:t xml:space="preserve">switching delay </w:t>
      </w:r>
    </w:p>
    <w:p w14:paraId="697833FD" w14:textId="10F0021A" w:rsidR="00380E23" w:rsidRDefault="00402D68" w:rsidP="00380E23">
      <w:pPr>
        <w:pStyle w:val="ListParagraph"/>
        <w:numPr>
          <w:ilvl w:val="1"/>
          <w:numId w:val="23"/>
        </w:numPr>
        <w:spacing w:before="120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UE specific </w:t>
      </w:r>
      <w:r w:rsidR="00380E23" w:rsidRPr="00A32976">
        <w:rPr>
          <w:rFonts w:ascii="Times New Roman" w:hAnsi="Times New Roman"/>
          <w:szCs w:val="22"/>
        </w:rPr>
        <w:t xml:space="preserve">CBW change delay </w:t>
      </w:r>
      <w:r w:rsidR="00380E23">
        <w:rPr>
          <w:rFonts w:ascii="Times New Roman" w:hAnsi="Times New Roman"/>
          <w:szCs w:val="22"/>
        </w:rPr>
        <w:t>and</w:t>
      </w:r>
    </w:p>
    <w:p w14:paraId="552D34AC" w14:textId="3120C4A9" w:rsidR="00380E23" w:rsidRPr="00380E23" w:rsidRDefault="00380E23" w:rsidP="00380E23">
      <w:pPr>
        <w:pStyle w:val="ListParagraph"/>
        <w:numPr>
          <w:ilvl w:val="1"/>
          <w:numId w:val="23"/>
        </w:numPr>
        <w:spacing w:before="120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RRC based active TCI state switching delay.</w:t>
      </w:r>
    </w:p>
    <w:bookmarkEnd w:id="4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2"/>
      <w:bookmarkEnd w:id="3"/>
    </w:p>
    <w:p w14:paraId="7C729E1D" w14:textId="27F17D18" w:rsidR="00AE12EE" w:rsidRDefault="00AE12EE" w:rsidP="00BB4BD2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R4-2</w:t>
      </w:r>
      <w:r w:rsidR="000F579A">
        <w:rPr>
          <w:rFonts w:ascii="Times New Roman" w:hAnsi="Times New Roman"/>
          <w:sz w:val="20"/>
        </w:rPr>
        <w:t>009906</w:t>
      </w:r>
      <w:r w:rsidR="008922A1">
        <w:rPr>
          <w:rFonts w:ascii="Times New Roman" w:hAnsi="Times New Roman"/>
          <w:sz w:val="20"/>
        </w:rPr>
        <w:t xml:space="preserve">, </w:t>
      </w:r>
      <w:r w:rsidR="00F136C2">
        <w:rPr>
          <w:rFonts w:ascii="Times New Roman" w:hAnsi="Times New Roman"/>
          <w:sz w:val="20"/>
        </w:rPr>
        <w:t>“</w:t>
      </w:r>
      <w:r w:rsidR="00404758" w:rsidRPr="00404758">
        <w:rPr>
          <w:rFonts w:ascii="Times New Roman" w:hAnsi="Times New Roman"/>
          <w:sz w:val="20"/>
        </w:rPr>
        <w:t xml:space="preserve">Further discussion on issues of R15 BWP switching delay </w:t>
      </w:r>
      <w:proofErr w:type="spellStart"/>
      <w:r w:rsidR="00404758" w:rsidRPr="00404758">
        <w:rPr>
          <w:rFonts w:ascii="Times New Roman" w:hAnsi="Times New Roman"/>
          <w:sz w:val="20"/>
        </w:rPr>
        <w:t>requiremen</w:t>
      </w:r>
      <w:proofErr w:type="spellEnd"/>
      <w:r w:rsidR="002311F2">
        <w:rPr>
          <w:rFonts w:ascii="Times New Roman" w:hAnsi="Times New Roman"/>
          <w:sz w:val="20"/>
        </w:rPr>
        <w:t>”</w:t>
      </w:r>
      <w:r w:rsidR="006530BC">
        <w:rPr>
          <w:rFonts w:ascii="Times New Roman" w:hAnsi="Times New Roman"/>
          <w:sz w:val="20"/>
        </w:rPr>
        <w:t xml:space="preserve">, </w:t>
      </w:r>
      <w:r w:rsidR="00CF4D0A">
        <w:rPr>
          <w:rFonts w:ascii="Times New Roman" w:hAnsi="Times New Roman"/>
          <w:sz w:val="20"/>
        </w:rPr>
        <w:t>Apple</w:t>
      </w:r>
      <w:r w:rsidR="006530BC">
        <w:rPr>
          <w:rFonts w:ascii="Times New Roman" w:hAnsi="Times New Roman"/>
          <w:sz w:val="20"/>
        </w:rPr>
        <w:t>.</w:t>
      </w:r>
    </w:p>
    <w:p w14:paraId="14FB4DB9" w14:textId="08F7F188" w:rsidR="00343040" w:rsidRPr="00343040" w:rsidRDefault="00343040" w:rsidP="00343040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R4-2</w:t>
      </w:r>
      <w:r w:rsidR="000F579A">
        <w:rPr>
          <w:rFonts w:ascii="Times New Roman" w:hAnsi="Times New Roman"/>
          <w:sz w:val="20"/>
        </w:rPr>
        <w:t>009907</w:t>
      </w:r>
      <w:r>
        <w:rPr>
          <w:rFonts w:ascii="Times New Roman" w:hAnsi="Times New Roman"/>
          <w:sz w:val="20"/>
        </w:rPr>
        <w:t>, “</w:t>
      </w:r>
      <w:r w:rsidRPr="00CF4D0A">
        <w:rPr>
          <w:rFonts w:ascii="Times New Roman" w:hAnsi="Times New Roman"/>
          <w:sz w:val="20"/>
        </w:rPr>
        <w:t>Draft CR on UE behavior for UE specific CBW change</w:t>
      </w:r>
      <w:r>
        <w:rPr>
          <w:rFonts w:ascii="Times New Roman" w:hAnsi="Times New Roman"/>
          <w:sz w:val="20"/>
        </w:rPr>
        <w:t>”, Apple.</w:t>
      </w:r>
    </w:p>
    <w:sectPr w:rsidR="00343040" w:rsidRPr="0034304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0C4AE" w14:textId="77777777" w:rsidR="009D4E07" w:rsidRDefault="009D4E07">
      <w:r>
        <w:separator/>
      </w:r>
    </w:p>
  </w:endnote>
  <w:endnote w:type="continuationSeparator" w:id="0">
    <w:p w14:paraId="6AC0386E" w14:textId="77777777" w:rsidR="009D4E07" w:rsidRDefault="009D4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494E4" w14:textId="77777777" w:rsidR="009D4E07" w:rsidRDefault="009D4E07">
      <w:r>
        <w:separator/>
      </w:r>
    </w:p>
  </w:footnote>
  <w:footnote w:type="continuationSeparator" w:id="0">
    <w:p w14:paraId="73202941" w14:textId="77777777" w:rsidR="009D4E07" w:rsidRDefault="009D4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0B4578"/>
    <w:multiLevelType w:val="hybridMultilevel"/>
    <w:tmpl w:val="8B0852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2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5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0"/>
  </w:num>
  <w:num w:numId="5">
    <w:abstractNumId w:val="12"/>
  </w:num>
  <w:num w:numId="6">
    <w:abstractNumId w:val="22"/>
  </w:num>
  <w:num w:numId="7">
    <w:abstractNumId w:val="19"/>
  </w:num>
  <w:num w:numId="8">
    <w:abstractNumId w:val="17"/>
  </w:num>
  <w:num w:numId="9">
    <w:abstractNumId w:val="3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18"/>
  </w:num>
  <w:num w:numId="17">
    <w:abstractNumId w:val="6"/>
  </w:num>
  <w:num w:numId="18">
    <w:abstractNumId w:val="21"/>
  </w:num>
  <w:num w:numId="19">
    <w:abstractNumId w:val="15"/>
  </w:num>
  <w:num w:numId="20">
    <w:abstractNumId w:val="14"/>
  </w:num>
  <w:num w:numId="21">
    <w:abstractNumId w:val="13"/>
  </w:num>
  <w:num w:numId="22">
    <w:abstractNumId w:val="16"/>
  </w:num>
  <w:num w:numId="23">
    <w:abstractNumId w:val="9"/>
  </w:num>
  <w:num w:numId="2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4E9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579A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7A2"/>
    <w:rsid w:val="00120B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4B6"/>
    <w:rsid w:val="001808A4"/>
    <w:rsid w:val="0018133F"/>
    <w:rsid w:val="00182A49"/>
    <w:rsid w:val="00182AC6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616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11F2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77ED"/>
    <w:rsid w:val="002979E8"/>
    <w:rsid w:val="002979F7"/>
    <w:rsid w:val="002A0057"/>
    <w:rsid w:val="002A0139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040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3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048"/>
    <w:rsid w:val="003B306E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460"/>
    <w:rsid w:val="003F1537"/>
    <w:rsid w:val="003F1645"/>
    <w:rsid w:val="003F18E2"/>
    <w:rsid w:val="003F2400"/>
    <w:rsid w:val="003F31F2"/>
    <w:rsid w:val="003F3B11"/>
    <w:rsid w:val="003F5E14"/>
    <w:rsid w:val="003F62C6"/>
    <w:rsid w:val="0040016B"/>
    <w:rsid w:val="004011D8"/>
    <w:rsid w:val="0040163E"/>
    <w:rsid w:val="00402D68"/>
    <w:rsid w:val="00402E2E"/>
    <w:rsid w:val="004037E8"/>
    <w:rsid w:val="004040A8"/>
    <w:rsid w:val="004041C4"/>
    <w:rsid w:val="00404758"/>
    <w:rsid w:val="00407C85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6D0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59E3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49A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00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6DBC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764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07C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C7C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3AB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0C34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E07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A18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5E0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B80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67E41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77F7E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695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8C9"/>
    <w:rsid w:val="00BE1C58"/>
    <w:rsid w:val="00BE203C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C6B"/>
    <w:rsid w:val="00C17E7B"/>
    <w:rsid w:val="00C20A0B"/>
    <w:rsid w:val="00C220B7"/>
    <w:rsid w:val="00C225BF"/>
    <w:rsid w:val="00C22C45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0BF4"/>
    <w:rsid w:val="00C3238A"/>
    <w:rsid w:val="00C3368E"/>
    <w:rsid w:val="00C34FA5"/>
    <w:rsid w:val="00C373A8"/>
    <w:rsid w:val="00C37B2E"/>
    <w:rsid w:val="00C4072E"/>
    <w:rsid w:val="00C41603"/>
    <w:rsid w:val="00C431CA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A20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F2DC2"/>
    <w:rsid w:val="00CF35F6"/>
    <w:rsid w:val="00CF41DE"/>
    <w:rsid w:val="00CF4D0A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5A59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23F6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8E2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729"/>
    <w:rsid w:val="00F71DA2"/>
    <w:rsid w:val="00F71DAD"/>
    <w:rsid w:val="00F74533"/>
    <w:rsid w:val="00F75299"/>
    <w:rsid w:val="00F7792E"/>
    <w:rsid w:val="00F80396"/>
    <w:rsid w:val="00F806BB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C7A49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121CBEE-DC94-474D-8402-90814A6EB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671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57</cp:revision>
  <cp:lastPrinted>1899-12-31T23:00:00Z</cp:lastPrinted>
  <dcterms:created xsi:type="dcterms:W3CDTF">2020-10-22T07:55:00Z</dcterms:created>
  <dcterms:modified xsi:type="dcterms:W3CDTF">2020-10-23T16:23:00Z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